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E" w:rsidRDefault="001B438E" w:rsidP="001B438E">
      <w:pPr>
        <w:pStyle w:val="Chapitre"/>
        <w:rPr>
          <w:sz w:val="24"/>
        </w:rPr>
      </w:pPr>
      <w:r>
        <w:rPr>
          <w:sz w:val="24"/>
          <w:szCs w:val="28"/>
        </w:rPr>
        <w:t xml:space="preserve">Chapitre 4. Comment communique-t-on dans un procès ? </w:t>
      </w:r>
    </w:p>
    <w:p w:rsidR="001B438E" w:rsidRDefault="001B438E" w:rsidP="001B438E">
      <w:pPr>
        <w:pStyle w:val="secction"/>
        <w:rPr>
          <w:sz w:val="24"/>
          <w:shd w:val="clear" w:color="auto" w:fill="00FF00"/>
        </w:rPr>
      </w:pPr>
      <w:r>
        <w:rPr>
          <w:sz w:val="24"/>
        </w:rPr>
        <w:t>Section 1 – Le contradictoire</w:t>
      </w:r>
    </w:p>
    <w:p w:rsidR="001B438E" w:rsidRDefault="001B438E" w:rsidP="001B438E">
      <w:pPr>
        <w:pStyle w:val="secction"/>
        <w:rPr>
          <w:sz w:val="24"/>
        </w:rPr>
      </w:pPr>
      <w:r>
        <w:rPr>
          <w:sz w:val="24"/>
          <w:shd w:val="clear" w:color="auto" w:fill="00FF00"/>
        </w:rPr>
        <w:t>articles 14 à 16 du cpc</w:t>
      </w:r>
    </w:p>
    <w:p w:rsidR="001B438E" w:rsidRDefault="001B438E" w:rsidP="001B438E">
      <w:pPr>
        <w:pStyle w:val="Para1"/>
        <w:numPr>
          <w:ilvl w:val="0"/>
          <w:numId w:val="2"/>
        </w:numPr>
        <w:rPr>
          <w:sz w:val="24"/>
        </w:rPr>
      </w:pPr>
      <w:r>
        <w:rPr>
          <w:sz w:val="24"/>
        </w:rPr>
        <w:t>Entre les parties</w:t>
      </w:r>
    </w:p>
    <w:p w:rsidR="001B438E" w:rsidRDefault="001B438E" w:rsidP="001B438E">
      <w:pPr>
        <w:pStyle w:val="Para1"/>
        <w:numPr>
          <w:ilvl w:val="0"/>
          <w:numId w:val="2"/>
        </w:numPr>
        <w:rPr>
          <w:sz w:val="24"/>
        </w:rPr>
      </w:pPr>
      <w:r>
        <w:rPr>
          <w:sz w:val="24"/>
        </w:rPr>
        <w:t>La fonction du juge et le contradictoire</w:t>
      </w:r>
    </w:p>
    <w:p w:rsidR="001B438E" w:rsidRDefault="001B438E" w:rsidP="001B438E">
      <w:pPr>
        <w:pStyle w:val="secction"/>
        <w:rPr>
          <w:sz w:val="24"/>
        </w:rPr>
      </w:pPr>
    </w:p>
    <w:p w:rsidR="001B438E" w:rsidRDefault="001B438E" w:rsidP="001B438E">
      <w:pPr>
        <w:pStyle w:val="secction"/>
        <w:rPr>
          <w:sz w:val="24"/>
        </w:rPr>
      </w:pPr>
      <w:r>
        <w:rPr>
          <w:sz w:val="24"/>
        </w:rPr>
        <w:t>Section 2 – La communication</w:t>
      </w:r>
    </w:p>
    <w:p w:rsidR="001B438E" w:rsidRDefault="001B438E" w:rsidP="001B438E">
      <w:pPr>
        <w:pStyle w:val="secction"/>
        <w:numPr>
          <w:ilvl w:val="0"/>
          <w:numId w:val="3"/>
        </w:numPr>
        <w:rPr>
          <w:sz w:val="24"/>
        </w:rPr>
      </w:pPr>
      <w:r>
        <w:rPr>
          <w:sz w:val="24"/>
        </w:rPr>
        <w:t>Les actes et les modalités de communication</w:t>
      </w:r>
    </w:p>
    <w:p w:rsidR="001B438E" w:rsidRDefault="001B438E" w:rsidP="001B438E">
      <w:pPr>
        <w:pStyle w:val="Petita"/>
        <w:numPr>
          <w:ilvl w:val="0"/>
          <w:numId w:val="0"/>
        </w:numPr>
        <w:ind w:left="709" w:hanging="360"/>
        <w:rPr>
          <w:sz w:val="24"/>
        </w:rPr>
      </w:pPr>
      <w:r>
        <w:rPr>
          <w:sz w:val="24"/>
        </w:rPr>
        <w:t>a) quels actes?</w:t>
      </w:r>
    </w:p>
    <w:p w:rsidR="001B438E" w:rsidRDefault="001B438E" w:rsidP="001B438E">
      <w:pPr>
        <w:pStyle w:val="Petita"/>
        <w:numPr>
          <w:ilvl w:val="0"/>
          <w:numId w:val="0"/>
        </w:numPr>
        <w:ind w:left="709" w:hanging="360"/>
        <w:rPr>
          <w:sz w:val="24"/>
          <w:shd w:val="clear" w:color="auto" w:fill="00FF00"/>
        </w:rPr>
      </w:pPr>
      <w:r>
        <w:rPr>
          <w:sz w:val="24"/>
        </w:rPr>
        <w:t>b) communication entre les parties</w:t>
      </w:r>
    </w:p>
    <w:p w:rsidR="001B438E" w:rsidRDefault="001B438E" w:rsidP="001B438E">
      <w:pPr>
        <w:pStyle w:val="Petita"/>
        <w:numPr>
          <w:ilvl w:val="0"/>
          <w:numId w:val="0"/>
        </w:numPr>
        <w:ind w:left="709" w:hanging="360"/>
        <w:rPr>
          <w:sz w:val="24"/>
        </w:rPr>
      </w:pPr>
      <w:r>
        <w:rPr>
          <w:sz w:val="24"/>
          <w:shd w:val="clear" w:color="auto" w:fill="00FF00"/>
        </w:rPr>
        <w:t>articles 112 à 116 sur régime de la nullité des actes</w:t>
      </w:r>
    </w:p>
    <w:p w:rsidR="001B438E" w:rsidRDefault="001B438E" w:rsidP="001B438E">
      <w:pPr>
        <w:pStyle w:val="Petita"/>
        <w:numPr>
          <w:ilvl w:val="0"/>
          <w:numId w:val="0"/>
        </w:numPr>
        <w:ind w:left="709" w:hanging="360"/>
        <w:rPr>
          <w:sz w:val="24"/>
        </w:rPr>
      </w:pPr>
      <w:r>
        <w:rPr>
          <w:sz w:val="24"/>
        </w:rPr>
        <w:t>c) communication avec la juridiction</w:t>
      </w:r>
    </w:p>
    <w:p w:rsidR="001B438E" w:rsidRDefault="001B438E" w:rsidP="001B438E">
      <w:pPr>
        <w:pStyle w:val="Petita"/>
        <w:numPr>
          <w:ilvl w:val="0"/>
          <w:numId w:val="0"/>
        </w:numPr>
        <w:ind w:left="709" w:hanging="360"/>
        <w:rPr>
          <w:sz w:val="24"/>
        </w:rPr>
      </w:pPr>
    </w:p>
    <w:p w:rsidR="001B438E" w:rsidRDefault="001B438E" w:rsidP="001B438E">
      <w:pPr>
        <w:pStyle w:val="secction"/>
        <w:numPr>
          <w:ilvl w:val="0"/>
          <w:numId w:val="3"/>
        </w:numPr>
        <w:rPr>
          <w:sz w:val="24"/>
        </w:rPr>
      </w:pPr>
      <w:r>
        <w:rPr>
          <w:sz w:val="24"/>
        </w:rPr>
        <w:t>La chronologie des moyens</w:t>
      </w:r>
    </w:p>
    <w:p w:rsidR="001B438E" w:rsidRDefault="001B438E" w:rsidP="001B438E">
      <w:pPr>
        <w:pStyle w:val="secction"/>
        <w:ind w:left="851"/>
        <w:rPr>
          <w:sz w:val="24"/>
        </w:rPr>
      </w:pPr>
      <w:r>
        <w:rPr>
          <w:sz w:val="24"/>
        </w:rPr>
        <w:t>a) les exceptions de procédure (</w:t>
      </w:r>
      <w:r>
        <w:rPr>
          <w:sz w:val="24"/>
          <w:shd w:val="clear" w:color="auto" w:fill="00FF00"/>
        </w:rPr>
        <w:t>articles 73 et 74 du cpc et article 117 cpc</w:t>
      </w:r>
      <w:r>
        <w:rPr>
          <w:sz w:val="24"/>
        </w:rPr>
        <w:t>)</w:t>
      </w:r>
    </w:p>
    <w:p w:rsidR="001B438E" w:rsidRDefault="001B438E" w:rsidP="001B438E">
      <w:pPr>
        <w:pStyle w:val="secction"/>
        <w:ind w:left="851"/>
        <w:rPr>
          <w:sz w:val="24"/>
        </w:rPr>
      </w:pPr>
      <w:r>
        <w:rPr>
          <w:sz w:val="24"/>
        </w:rPr>
        <w:t>b) les défenses au fond (</w:t>
      </w:r>
      <w:r>
        <w:rPr>
          <w:sz w:val="24"/>
          <w:shd w:val="clear" w:color="auto" w:fill="00FF00"/>
        </w:rPr>
        <w:t>article 71 cpc)</w:t>
      </w:r>
    </w:p>
    <w:p w:rsidR="001B438E" w:rsidRDefault="001B438E" w:rsidP="001B438E">
      <w:pPr>
        <w:pStyle w:val="secction"/>
        <w:ind w:left="851"/>
        <w:rPr>
          <w:sz w:val="24"/>
        </w:rPr>
      </w:pPr>
      <w:r>
        <w:rPr>
          <w:sz w:val="24"/>
        </w:rPr>
        <w:t>c) les fins de non-recevoir (</w:t>
      </w:r>
      <w:r>
        <w:rPr>
          <w:sz w:val="24"/>
          <w:shd w:val="clear" w:color="auto" w:fill="00FF00"/>
        </w:rPr>
        <w:t>articles 122 et 123 cpc</w:t>
      </w:r>
      <w:r>
        <w:rPr>
          <w:sz w:val="24"/>
        </w:rPr>
        <w:t>)</w:t>
      </w:r>
    </w:p>
    <w:p w:rsidR="001B438E" w:rsidRDefault="001B438E" w:rsidP="001B438E">
      <w:pPr>
        <w:pStyle w:val="secction"/>
        <w:numPr>
          <w:ilvl w:val="0"/>
          <w:numId w:val="3"/>
        </w:numPr>
        <w:rPr>
          <w:sz w:val="24"/>
        </w:rPr>
      </w:pPr>
      <w:r>
        <w:rPr>
          <w:sz w:val="24"/>
        </w:rPr>
        <w:t>La chronologie des différents types de procédure</w:t>
      </w:r>
      <w:r>
        <w:rPr>
          <w:sz w:val="24"/>
        </w:rPr>
        <w:t xml:space="preserve"> (probablement pas traité)</w:t>
      </w:r>
      <w:bookmarkStart w:id="0" w:name="_GoBack"/>
      <w:bookmarkEnd w:id="0"/>
    </w:p>
    <w:p w:rsidR="001B438E" w:rsidRDefault="001B438E" w:rsidP="001B438E">
      <w:pPr>
        <w:pStyle w:val="secction"/>
        <w:rPr>
          <w:sz w:val="24"/>
        </w:rPr>
      </w:pPr>
      <w:r>
        <w:rPr>
          <w:sz w:val="24"/>
        </w:rPr>
        <w:t xml:space="preserve">a) la procédure écrite devant le TGI </w:t>
      </w:r>
      <w:r>
        <w:rPr>
          <w:sz w:val="24"/>
          <w:shd w:val="clear" w:color="auto" w:fill="00FF00"/>
        </w:rPr>
        <w:t>(articles 763 et suivants du cpc)</w:t>
      </w:r>
    </w:p>
    <w:p w:rsidR="001B438E" w:rsidRDefault="001B438E" w:rsidP="001B438E">
      <w:pPr>
        <w:pStyle w:val="secction"/>
        <w:rPr>
          <w:sz w:val="24"/>
        </w:rPr>
      </w:pPr>
      <w:r>
        <w:rPr>
          <w:sz w:val="24"/>
        </w:rPr>
        <w:t>b) les procédures orales (</w:t>
      </w:r>
      <w:r>
        <w:rPr>
          <w:sz w:val="24"/>
          <w:shd w:val="clear" w:color="auto" w:fill="00FF00"/>
        </w:rPr>
        <w:t>articles 446-1 à 446-4 du cpc</w:t>
      </w:r>
      <w:r>
        <w:rPr>
          <w:sz w:val="24"/>
        </w:rPr>
        <w:t>)</w:t>
      </w:r>
    </w:p>
    <w:p w:rsidR="0048067A" w:rsidRDefault="001B438E"/>
    <w:p w:rsidR="001B438E" w:rsidRDefault="001B438E"/>
    <w:p w:rsidR="001B438E" w:rsidRDefault="001B438E">
      <w:r>
        <w:t>ccl sur les effets des jugements</w:t>
      </w:r>
    </w:p>
    <w:sectPr w:rsidR="001B438E" w:rsidSect="0048067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charset w:val="80"/>
    <w:family w:val="auto"/>
    <w:pitch w:val="variable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E"/>
    <w:rsid w:val="000C0516"/>
    <w:rsid w:val="001B438E"/>
    <w:rsid w:val="003F4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E481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Corpsdetexte"/>
    <w:rsid w:val="001B438E"/>
    <w:pPr>
      <w:widowControl w:val="0"/>
      <w:suppressAutoHyphens/>
    </w:pPr>
    <w:rPr>
      <w:rFonts w:ascii="Trebuchet MS" w:eastAsia="SimSun" w:hAnsi="Trebuchet MS" w:cs="Trebuchet MS"/>
      <w:b/>
      <w:bCs/>
      <w:kern w:val="1"/>
      <w:sz w:val="36"/>
      <w:szCs w:val="36"/>
      <w:lang w:eastAsia="zh-CN" w:bidi="hi-IN"/>
    </w:rPr>
  </w:style>
  <w:style w:type="paragraph" w:customStyle="1" w:styleId="secction">
    <w:name w:val="secction"/>
    <w:basedOn w:val="Corpsdetexte"/>
    <w:rsid w:val="001B438E"/>
    <w:pPr>
      <w:widowControl w:val="0"/>
      <w:suppressAutoHyphens/>
    </w:pPr>
    <w:rPr>
      <w:rFonts w:ascii="Trebuchet MS" w:eastAsia="SimSun" w:hAnsi="Trebuchet MS" w:cs="Trebuchet MS"/>
      <w:kern w:val="1"/>
      <w:sz w:val="36"/>
      <w:szCs w:val="36"/>
      <w:lang w:eastAsia="zh-CN" w:bidi="hi-IN"/>
    </w:rPr>
  </w:style>
  <w:style w:type="paragraph" w:customStyle="1" w:styleId="Para1">
    <w:name w:val="Para 1"/>
    <w:basedOn w:val="Normal"/>
    <w:rsid w:val="001B438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Trebuchet MS" w:eastAsia="Arial Black" w:hAnsi="Trebuchet MS" w:cs="Arial Black"/>
      <w:b/>
      <w:color w:val="000000"/>
      <w:kern w:val="1"/>
      <w:sz w:val="32"/>
      <w:szCs w:val="32"/>
      <w:lang w:eastAsia="zh-CN" w:bidi="hi-IN"/>
    </w:rPr>
  </w:style>
  <w:style w:type="paragraph" w:customStyle="1" w:styleId="Petita">
    <w:name w:val="Petita"/>
    <w:basedOn w:val="Corpsdetexte"/>
    <w:rsid w:val="001B438E"/>
    <w:pPr>
      <w:widowControl w:val="0"/>
      <w:numPr>
        <w:numId w:val="4"/>
      </w:numPr>
      <w:suppressAutoHyphens/>
    </w:pPr>
    <w:rPr>
      <w:rFonts w:ascii="Trebuchet MS" w:eastAsia="SimSun" w:hAnsi="Trebuchet MS" w:cs="Trebuchet MS"/>
      <w:kern w:val="1"/>
      <w:sz w:val="36"/>
      <w:szCs w:val="36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B43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B43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Corpsdetexte"/>
    <w:rsid w:val="001B438E"/>
    <w:pPr>
      <w:widowControl w:val="0"/>
      <w:suppressAutoHyphens/>
    </w:pPr>
    <w:rPr>
      <w:rFonts w:ascii="Trebuchet MS" w:eastAsia="SimSun" w:hAnsi="Trebuchet MS" w:cs="Trebuchet MS"/>
      <w:b/>
      <w:bCs/>
      <w:kern w:val="1"/>
      <w:sz w:val="36"/>
      <w:szCs w:val="36"/>
      <w:lang w:eastAsia="zh-CN" w:bidi="hi-IN"/>
    </w:rPr>
  </w:style>
  <w:style w:type="paragraph" w:customStyle="1" w:styleId="secction">
    <w:name w:val="secction"/>
    <w:basedOn w:val="Corpsdetexte"/>
    <w:rsid w:val="001B438E"/>
    <w:pPr>
      <w:widowControl w:val="0"/>
      <w:suppressAutoHyphens/>
    </w:pPr>
    <w:rPr>
      <w:rFonts w:ascii="Trebuchet MS" w:eastAsia="SimSun" w:hAnsi="Trebuchet MS" w:cs="Trebuchet MS"/>
      <w:kern w:val="1"/>
      <w:sz w:val="36"/>
      <w:szCs w:val="36"/>
      <w:lang w:eastAsia="zh-CN" w:bidi="hi-IN"/>
    </w:rPr>
  </w:style>
  <w:style w:type="paragraph" w:customStyle="1" w:styleId="Para1">
    <w:name w:val="Para 1"/>
    <w:basedOn w:val="Normal"/>
    <w:rsid w:val="001B438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Trebuchet MS" w:eastAsia="Arial Black" w:hAnsi="Trebuchet MS" w:cs="Arial Black"/>
      <w:b/>
      <w:color w:val="000000"/>
      <w:kern w:val="1"/>
      <w:sz w:val="32"/>
      <w:szCs w:val="32"/>
      <w:lang w:eastAsia="zh-CN" w:bidi="hi-IN"/>
    </w:rPr>
  </w:style>
  <w:style w:type="paragraph" w:customStyle="1" w:styleId="Petita">
    <w:name w:val="Petita"/>
    <w:basedOn w:val="Corpsdetexte"/>
    <w:rsid w:val="001B438E"/>
    <w:pPr>
      <w:widowControl w:val="0"/>
      <w:numPr>
        <w:numId w:val="4"/>
      </w:numPr>
      <w:suppressAutoHyphens/>
    </w:pPr>
    <w:rPr>
      <w:rFonts w:ascii="Trebuchet MS" w:eastAsia="SimSun" w:hAnsi="Trebuchet MS" w:cs="Trebuchet MS"/>
      <w:kern w:val="1"/>
      <w:sz w:val="36"/>
      <w:szCs w:val="36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B43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B4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</dc:creator>
  <cp:keywords/>
  <dc:description/>
  <cp:lastModifiedBy>laurence s</cp:lastModifiedBy>
  <cp:revision>1</cp:revision>
  <dcterms:created xsi:type="dcterms:W3CDTF">2013-05-20T15:34:00Z</dcterms:created>
  <dcterms:modified xsi:type="dcterms:W3CDTF">2013-05-20T15:35:00Z</dcterms:modified>
</cp:coreProperties>
</file>