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1EF7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PV du 3 avril 2013</w:t>
      </w:r>
    </w:p>
    <w:p w14:paraId="56E59F3A" w14:textId="77777777" w:rsidR="00B871E7" w:rsidRPr="00B871E7" w:rsidRDefault="00B871E7" w:rsidP="00B871E7">
      <w:pPr>
        <w:rPr>
          <w:lang w:val="fr-FR"/>
        </w:rPr>
      </w:pPr>
    </w:p>
    <w:p w14:paraId="421A686F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Sur la qualité pour agir,</w:t>
      </w:r>
    </w:p>
    <w:p w14:paraId="0A25478A" w14:textId="77777777" w:rsidR="00B871E7" w:rsidRPr="00B871E7" w:rsidRDefault="00B871E7" w:rsidP="00B871E7">
      <w:pPr>
        <w:rPr>
          <w:lang w:val="fr-FR"/>
        </w:rPr>
      </w:pPr>
    </w:p>
    <w:p w14:paraId="53362B1C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2° ou b) défense de l’intérêt collectif</w:t>
      </w:r>
    </w:p>
    <w:p w14:paraId="6020B0EE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Dispositions législatives relatives aux syndicats et à certaines actions et associations en matière d’environnement, de lutte contre les discriminations, etc…</w:t>
      </w:r>
    </w:p>
    <w:p w14:paraId="6130798B" w14:textId="77777777" w:rsidR="00B871E7" w:rsidRPr="00B871E7" w:rsidRDefault="00B871E7" w:rsidP="00B871E7">
      <w:pPr>
        <w:rPr>
          <w:lang w:val="fr-FR"/>
        </w:rPr>
      </w:pPr>
    </w:p>
    <w:p w14:paraId="1BB3B698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Analyse des deux arrêts distribués : Civ 3, 2007 et Civ 1, 2008 qui posent la jurisprudence suivant laquelle les associations ont qualité pour agir au nom des intérêts collectifs qui entrent dans leur objet social « même hors habilitation législative ».</w:t>
      </w:r>
    </w:p>
    <w:p w14:paraId="5870AAAD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Travail approfondi sur la manière de lire et de comprendre un arrêt de la Cour de cassation.</w:t>
      </w:r>
    </w:p>
    <w:p w14:paraId="7550974B" w14:textId="77777777" w:rsidR="00B871E7" w:rsidRPr="00B871E7" w:rsidRDefault="00B871E7" w:rsidP="00B871E7">
      <w:pPr>
        <w:rPr>
          <w:lang w:val="fr-FR"/>
        </w:rPr>
      </w:pPr>
    </w:p>
    <w:p w14:paraId="2FC92064" w14:textId="77777777" w:rsidR="00B871E7" w:rsidRPr="00B871E7" w:rsidRDefault="00B871E7" w:rsidP="00B871E7">
      <w:pPr>
        <w:rPr>
          <w:lang w:val="fr-FR"/>
        </w:rPr>
      </w:pPr>
      <w:r w:rsidRPr="00B871E7">
        <w:rPr>
          <w:lang w:val="fr-FR"/>
        </w:rPr>
        <w:t>3° ou c) Défense de l’intérêt d’autrui</w:t>
      </w:r>
    </w:p>
    <w:p w14:paraId="51EC77D1" w14:textId="77777777" w:rsidR="00B871E7" w:rsidRPr="00B871E7" w:rsidRDefault="00B871E7" w:rsidP="00B871E7">
      <w:pPr>
        <w:numPr>
          <w:ilvl w:val="0"/>
          <w:numId w:val="3"/>
        </w:numPr>
        <w:rPr>
          <w:lang w:val="fr-FR"/>
        </w:rPr>
      </w:pPr>
      <w:r w:rsidRPr="00B871E7">
        <w:rPr>
          <w:lang w:val="fr-FR"/>
        </w:rPr>
        <w:t>action en substitution</w:t>
      </w:r>
    </w:p>
    <w:p w14:paraId="77BD5E72" w14:textId="77777777" w:rsidR="00B871E7" w:rsidRPr="00B871E7" w:rsidRDefault="00B871E7" w:rsidP="00B871E7">
      <w:pPr>
        <w:numPr>
          <w:ilvl w:val="0"/>
          <w:numId w:val="3"/>
        </w:numPr>
        <w:rPr>
          <w:lang w:val="fr-FR"/>
        </w:rPr>
      </w:pPr>
      <w:r w:rsidRPr="00B871E7">
        <w:rPr>
          <w:lang w:val="fr-FR"/>
        </w:rPr>
        <w:t>action des associations dans l’intérêt de leurs membres</w:t>
      </w:r>
    </w:p>
    <w:p w14:paraId="36DD2D3B" w14:textId="77777777" w:rsidR="00B871E7" w:rsidRPr="00B871E7" w:rsidRDefault="00B871E7" w:rsidP="00B871E7">
      <w:pPr>
        <w:numPr>
          <w:ilvl w:val="0"/>
          <w:numId w:val="3"/>
        </w:numPr>
        <w:rPr>
          <w:lang w:val="fr-FR"/>
        </w:rPr>
      </w:pPr>
      <w:r w:rsidRPr="00B871E7">
        <w:rPr>
          <w:lang w:val="fr-FR"/>
        </w:rPr>
        <w:t>action en représentation conjointe des associations de consommateurs</w:t>
      </w:r>
    </w:p>
    <w:p w14:paraId="5E1D06F9" w14:textId="77777777" w:rsidR="00B871E7" w:rsidRPr="00B871E7" w:rsidRDefault="00B871E7">
      <w:pPr>
        <w:rPr>
          <w:lang w:val="fr-FR"/>
        </w:rPr>
      </w:pPr>
    </w:p>
    <w:p w14:paraId="1AA176CB" w14:textId="77777777" w:rsidR="00B871E7" w:rsidRPr="00B871E7" w:rsidRDefault="00B871E7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13AF6" w:rsidRPr="00CD769B" w14:paraId="7D46D79B" w14:textId="77777777" w:rsidTr="0033398C">
        <w:tc>
          <w:tcPr>
            <w:tcW w:w="9778" w:type="dxa"/>
            <w:shd w:val="clear" w:color="auto" w:fill="00FFFF"/>
          </w:tcPr>
          <w:p w14:paraId="3F5718A5" w14:textId="77777777" w:rsidR="00113AF6" w:rsidRPr="00B72537" w:rsidRDefault="00113AF6" w:rsidP="0033398C">
            <w:pPr>
              <w:pStyle w:val="Body1"/>
              <w:jc w:val="center"/>
              <w:rPr>
                <w:rFonts w:ascii="Calibri" w:hAnsi="Calibri" w:cs="Arial"/>
                <w:b/>
                <w:szCs w:val="24"/>
              </w:rPr>
            </w:pPr>
            <w:r w:rsidRPr="00B72537">
              <w:rPr>
                <w:rFonts w:ascii="Calibri" w:hAnsi="Calibri" w:cs="Arial"/>
                <w:b/>
                <w:szCs w:val="24"/>
              </w:rPr>
              <w:t>Procédure civile</w:t>
            </w:r>
          </w:p>
          <w:p w14:paraId="0B59560D" w14:textId="77777777" w:rsidR="00113AF6" w:rsidRPr="00B72537" w:rsidRDefault="00113AF6" w:rsidP="00A33674">
            <w:pPr>
              <w:pStyle w:val="Body1"/>
              <w:jc w:val="center"/>
              <w:rPr>
                <w:rFonts w:ascii="Calibri" w:hAnsi="Calibri" w:cs="Arial"/>
                <w:b/>
                <w:szCs w:val="24"/>
              </w:rPr>
            </w:pPr>
            <w:r w:rsidRPr="00B72537">
              <w:rPr>
                <w:rFonts w:ascii="Calibri" w:hAnsi="Calibri" w:cs="Arial"/>
                <w:b/>
                <w:szCs w:val="24"/>
              </w:rPr>
              <w:t>PV du 08 avril 2013</w:t>
            </w:r>
          </w:p>
        </w:tc>
      </w:tr>
    </w:tbl>
    <w:p w14:paraId="21CA5FEE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6BCEE26F" w14:textId="77777777" w:rsidR="00501D05" w:rsidRDefault="00501D05" w:rsidP="00113AF6">
      <w:pPr>
        <w:pStyle w:val="Body1"/>
        <w:rPr>
          <w:rFonts w:ascii="Calibri" w:hAnsi="Calibri" w:cs="Arial"/>
          <w:szCs w:val="24"/>
        </w:rPr>
      </w:pPr>
    </w:p>
    <w:p w14:paraId="7AD1A645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Galop d’essai</w:t>
      </w:r>
    </w:p>
    <w:p w14:paraId="57E49F46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</w:p>
    <w:p w14:paraId="78BF2428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</w:p>
    <w:p w14:paraId="57DB09AB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Suite du cours :</w:t>
      </w:r>
    </w:p>
    <w:p w14:paraId="090EB7C5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</w:p>
    <w:p w14:paraId="14ACC175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Section 2 – Quelles sont les démarches par lesquelles on devient partie à un procès ?</w:t>
      </w:r>
    </w:p>
    <w:p w14:paraId="42866485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</w:p>
    <w:p w14:paraId="38CB12F1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La concrétisation de l’action est ce que l’on appelle la demande ou la défense.</w:t>
      </w:r>
    </w:p>
    <w:p w14:paraId="61A26C1C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Quelles sont les parties à un procès ? Qui est titulaire du droit d’action ?</w:t>
      </w:r>
    </w:p>
    <w:p w14:paraId="2F1A4FBB" w14:textId="77777777" w:rsidR="00501D05" w:rsidRPr="00501D05" w:rsidRDefault="00501D05" w:rsidP="00501D05">
      <w:pPr>
        <w:pStyle w:val="Body1"/>
        <w:rPr>
          <w:rFonts w:ascii="Calibri" w:hAnsi="Calibri" w:cs="Arial"/>
        </w:rPr>
      </w:pPr>
      <w:r w:rsidRPr="00501D05">
        <w:rPr>
          <w:rFonts w:ascii="Calibri" w:hAnsi="Calibri" w:cs="Arial"/>
        </w:rPr>
        <w:t>Comment exerce –t-on le droit d’action ?</w:t>
      </w:r>
    </w:p>
    <w:p w14:paraId="1F717F72" w14:textId="77777777" w:rsidR="00113AF6" w:rsidRDefault="00113AF6" w:rsidP="00081219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C’est la concrétisation par la demande ou par la défense</w:t>
      </w:r>
      <w:r w:rsidR="009D1428">
        <w:rPr>
          <w:rFonts w:ascii="Calibri" w:hAnsi="Calibri" w:cs="Arial"/>
          <w:szCs w:val="24"/>
        </w:rPr>
        <w:t xml:space="preserve">, </w:t>
      </w:r>
      <w:r w:rsidR="00BC7514">
        <w:rPr>
          <w:rFonts w:ascii="Calibri" w:hAnsi="Calibri" w:cs="Arial"/>
          <w:szCs w:val="24"/>
        </w:rPr>
        <w:t>la titularité</w:t>
      </w:r>
      <w:r>
        <w:rPr>
          <w:rFonts w:ascii="Calibri" w:hAnsi="Calibri" w:cs="Arial"/>
          <w:szCs w:val="24"/>
        </w:rPr>
        <w:t xml:space="preserve"> du droit d’action </w:t>
      </w:r>
      <w:r w:rsidR="009D1428">
        <w:rPr>
          <w:rFonts w:ascii="Calibri" w:hAnsi="Calibri" w:cs="Arial"/>
          <w:szCs w:val="24"/>
        </w:rPr>
        <w:t xml:space="preserve">et </w:t>
      </w:r>
      <w:r>
        <w:rPr>
          <w:rFonts w:ascii="Calibri" w:hAnsi="Calibri" w:cs="Arial"/>
          <w:szCs w:val="24"/>
        </w:rPr>
        <w:t>l’exercice de ce droit sont des moyens pour devenir parties à un procès.</w:t>
      </w:r>
    </w:p>
    <w:p w14:paraId="6032E8F7" w14:textId="77777777" w:rsidR="009D1428" w:rsidRDefault="009D1428" w:rsidP="009D1428">
      <w:pPr>
        <w:pStyle w:val="Body1"/>
        <w:rPr>
          <w:rFonts w:ascii="Calibri" w:hAnsi="Calibri" w:cs="Arial"/>
          <w:szCs w:val="24"/>
        </w:rPr>
      </w:pPr>
    </w:p>
    <w:p w14:paraId="1C20408C" w14:textId="77777777" w:rsidR="00113AF6" w:rsidRDefault="00113AF6" w:rsidP="009D1428">
      <w:pPr>
        <w:pStyle w:val="Body1"/>
        <w:jc w:val="center"/>
        <w:rPr>
          <w:rFonts w:ascii="Calibri" w:hAnsi="Calibri" w:cs="Arial"/>
          <w:b/>
          <w:color w:val="auto"/>
          <w:szCs w:val="24"/>
        </w:rPr>
      </w:pPr>
      <w:r w:rsidRPr="00D43E80">
        <w:rPr>
          <w:rFonts w:ascii="Calibri" w:hAnsi="Calibri" w:cs="Arial"/>
          <w:b/>
          <w:color w:val="auto"/>
          <w:szCs w:val="24"/>
          <w:highlight w:val="green"/>
        </w:rPr>
        <w:t>Quelles sont les conditions de la demande ?</w:t>
      </w:r>
    </w:p>
    <w:p w14:paraId="1C58F528" w14:textId="77777777" w:rsidR="009D1428" w:rsidRPr="009D1428" w:rsidRDefault="009D1428" w:rsidP="009D1428">
      <w:pPr>
        <w:pStyle w:val="Body1"/>
        <w:jc w:val="center"/>
        <w:rPr>
          <w:rFonts w:ascii="Calibri" w:hAnsi="Calibri" w:cs="Arial"/>
          <w:b/>
          <w:color w:val="auto"/>
          <w:szCs w:val="24"/>
        </w:rPr>
      </w:pPr>
    </w:p>
    <w:p w14:paraId="1BC1BF26" w14:textId="77777777" w:rsidR="00113AF6" w:rsidRDefault="00113AF6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 w:rsidRPr="00F564A6">
        <w:rPr>
          <w:rFonts w:ascii="Calibri" w:hAnsi="Calibri" w:cs="Arial"/>
          <w:szCs w:val="24"/>
        </w:rPr>
        <w:t>La prétention</w:t>
      </w:r>
      <w:r w:rsidRPr="009D1428">
        <w:rPr>
          <w:rFonts w:ascii="Calibri" w:hAnsi="Calibri" w:cs="Arial"/>
          <w:szCs w:val="24"/>
        </w:rPr>
        <w:t xml:space="preserve"> ne</w:t>
      </w:r>
      <w:r w:rsidR="009D1428">
        <w:rPr>
          <w:rFonts w:ascii="Calibri" w:hAnsi="Calibri" w:cs="Arial"/>
          <w:szCs w:val="24"/>
        </w:rPr>
        <w:t xml:space="preserve"> doit </w:t>
      </w:r>
      <w:r w:rsidR="009D1428" w:rsidRPr="00363AC1">
        <w:rPr>
          <w:rFonts w:ascii="Calibri" w:hAnsi="Calibri" w:cs="Arial"/>
          <w:szCs w:val="24"/>
        </w:rPr>
        <w:t>pas</w:t>
      </w:r>
      <w:r w:rsidR="009D1428">
        <w:rPr>
          <w:rFonts w:ascii="Calibri" w:hAnsi="Calibri" w:cs="Arial"/>
          <w:szCs w:val="24"/>
        </w:rPr>
        <w:t xml:space="preserve"> avoir été déjà jugée</w:t>
      </w:r>
      <w:r w:rsidR="00F54754">
        <w:rPr>
          <w:rFonts w:ascii="Calibri" w:hAnsi="Calibri" w:cs="Arial"/>
          <w:szCs w:val="24"/>
        </w:rPr>
        <w:t>.</w:t>
      </w:r>
    </w:p>
    <w:p w14:paraId="72CED072" w14:textId="77777777" w:rsidR="009D1428" w:rsidRPr="009D1428" w:rsidRDefault="009D1428" w:rsidP="00FC050A">
      <w:pPr>
        <w:pStyle w:val="Body1"/>
        <w:jc w:val="both"/>
        <w:rPr>
          <w:rFonts w:ascii="Calibri" w:hAnsi="Calibri" w:cs="Arial"/>
          <w:szCs w:val="24"/>
        </w:rPr>
      </w:pPr>
    </w:p>
    <w:p w14:paraId="031F95BC" w14:textId="77777777" w:rsidR="00501D05" w:rsidRDefault="00F564A6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Il existe </w:t>
      </w:r>
      <w:r w:rsidR="00F54754" w:rsidRPr="00081219">
        <w:rPr>
          <w:rFonts w:ascii="Calibri" w:hAnsi="Calibri" w:cs="Arial"/>
          <w:szCs w:val="24"/>
        </w:rPr>
        <w:t xml:space="preserve">un certain nombre de délais qui sont posés pour l’exercice de </w:t>
      </w:r>
      <w:r w:rsidR="00113AF6" w:rsidRPr="00081219">
        <w:rPr>
          <w:rFonts w:ascii="Calibri" w:hAnsi="Calibri" w:cs="Arial"/>
          <w:szCs w:val="24"/>
        </w:rPr>
        <w:t xml:space="preserve">l’action de la demande en justice. </w:t>
      </w:r>
      <w:r w:rsidR="00F54754" w:rsidRPr="00081219">
        <w:rPr>
          <w:rFonts w:ascii="Calibri" w:hAnsi="Calibri" w:cs="Arial"/>
          <w:szCs w:val="24"/>
        </w:rPr>
        <w:t>Ce</w:t>
      </w:r>
      <w:r w:rsidR="00113AF6" w:rsidRPr="00081219">
        <w:rPr>
          <w:rFonts w:ascii="Calibri" w:hAnsi="Calibri" w:cs="Arial"/>
          <w:szCs w:val="24"/>
        </w:rPr>
        <w:t xml:space="preserve"> sont des délais de prescription fixés par le code civil, il y  a eu une réforme récente </w:t>
      </w:r>
      <w:r w:rsidR="00F54754" w:rsidRPr="00081219">
        <w:rPr>
          <w:rFonts w:ascii="Calibri" w:hAnsi="Calibri" w:cs="Arial"/>
          <w:szCs w:val="24"/>
        </w:rPr>
        <w:t>en la matière et le délai ordinaire est désormais de</w:t>
      </w:r>
      <w:r>
        <w:rPr>
          <w:rFonts w:ascii="Calibri" w:hAnsi="Calibri" w:cs="Arial"/>
          <w:szCs w:val="24"/>
        </w:rPr>
        <w:t xml:space="preserve"> 5 ans</w:t>
      </w:r>
      <w:r w:rsidR="00081219" w:rsidRPr="00081219">
        <w:rPr>
          <w:rFonts w:ascii="Calibri" w:hAnsi="Calibri" w:cs="Arial"/>
          <w:szCs w:val="24"/>
        </w:rPr>
        <w:t xml:space="preserve"> </w:t>
      </w:r>
      <w:r w:rsidR="00D178C1">
        <w:rPr>
          <w:rFonts w:ascii="Calibri" w:hAnsi="Calibri" w:cs="Arial"/>
          <w:szCs w:val="24"/>
        </w:rPr>
        <w:t>(</w:t>
      </w:r>
      <w:r w:rsidR="00113AF6" w:rsidRPr="00081219">
        <w:rPr>
          <w:rFonts w:ascii="Calibri" w:hAnsi="Calibri" w:cs="Arial"/>
          <w:szCs w:val="24"/>
        </w:rPr>
        <w:t>art</w:t>
      </w:r>
      <w:r w:rsidR="00F54754" w:rsidRPr="00081219">
        <w:rPr>
          <w:rFonts w:ascii="Calibri" w:hAnsi="Calibri" w:cs="Arial"/>
          <w:szCs w:val="24"/>
        </w:rPr>
        <w:t xml:space="preserve">icle </w:t>
      </w:r>
      <w:r w:rsidR="00113AF6" w:rsidRPr="00081219">
        <w:rPr>
          <w:rFonts w:ascii="Calibri" w:hAnsi="Calibri" w:cs="Arial"/>
          <w:szCs w:val="24"/>
        </w:rPr>
        <w:t xml:space="preserve"> 2224 du code civil)</w:t>
      </w:r>
      <w:r w:rsidR="00081219">
        <w:rPr>
          <w:rFonts w:ascii="Calibri" w:hAnsi="Calibri" w:cs="Arial"/>
          <w:szCs w:val="24"/>
        </w:rPr>
        <w:t xml:space="preserve">. </w:t>
      </w:r>
    </w:p>
    <w:p w14:paraId="6DC00B8F" w14:textId="77777777" w:rsidR="00113AF6" w:rsidRPr="00081219" w:rsidRDefault="00501D05" w:rsidP="00501D05">
      <w:pPr>
        <w:pStyle w:val="Body1"/>
        <w:jc w:val="both"/>
        <w:rPr>
          <w:rFonts w:ascii="Calibri" w:hAnsi="Calibri" w:cs="Arial"/>
          <w:szCs w:val="24"/>
        </w:rPr>
      </w:pPr>
      <w:r w:rsidRPr="00501D05">
        <w:rPr>
          <w:rFonts w:ascii="Calibri" w:eastAsia="Times New Roman" w:hAnsi="Calibri" w:cs="Arial"/>
          <w:color w:val="auto"/>
          <w:szCs w:val="24"/>
          <w:lang w:eastAsia="en-US"/>
        </w:rPr>
        <w:t xml:space="preserve">           </w:t>
      </w:r>
      <w:r w:rsidR="00113AF6" w:rsidRPr="00081219">
        <w:rPr>
          <w:rFonts w:ascii="Calibri" w:hAnsi="Calibri" w:cs="Arial"/>
          <w:szCs w:val="24"/>
        </w:rPr>
        <w:t>Pour interrompre une prescription, il faut agir en justice.</w:t>
      </w:r>
    </w:p>
    <w:p w14:paraId="7B886AFA" w14:textId="77777777" w:rsidR="00113AF6" w:rsidRPr="001105A7" w:rsidRDefault="00113AF6" w:rsidP="00FC050A">
      <w:pPr>
        <w:pStyle w:val="Paragraphedeliste"/>
        <w:jc w:val="both"/>
        <w:rPr>
          <w:rFonts w:ascii="Calibri" w:hAnsi="Calibri" w:cs="Arial"/>
          <w:lang w:val="fr-FR"/>
        </w:rPr>
      </w:pPr>
    </w:p>
    <w:p w14:paraId="3B7CFDAB" w14:textId="77777777" w:rsidR="00113AF6" w:rsidRDefault="00113AF6" w:rsidP="00FC050A">
      <w:pPr>
        <w:pStyle w:val="Body1"/>
        <w:numPr>
          <w:ilvl w:val="0"/>
          <w:numId w:val="2"/>
        </w:numPr>
        <w:jc w:val="both"/>
        <w:rPr>
          <w:rFonts w:ascii="Calibri" w:hAnsi="Calibri" w:cs="Arial"/>
          <w:szCs w:val="24"/>
        </w:rPr>
      </w:pPr>
      <w:r w:rsidRPr="00363AC1">
        <w:rPr>
          <w:rFonts w:ascii="Calibri" w:hAnsi="Calibri" w:cs="Arial"/>
          <w:szCs w:val="24"/>
        </w:rPr>
        <w:t>Délais préfixes</w:t>
      </w:r>
      <w:r w:rsidR="00363AC1" w:rsidRPr="00363AC1">
        <w:rPr>
          <w:rFonts w:ascii="Calibri" w:hAnsi="Calibri" w:cs="Arial"/>
          <w:szCs w:val="24"/>
        </w:rPr>
        <w:t xml:space="preserve">. Par exemple, </w:t>
      </w:r>
      <w:r w:rsidRPr="00363AC1">
        <w:rPr>
          <w:rFonts w:ascii="Calibri" w:hAnsi="Calibri" w:cs="Arial"/>
          <w:szCs w:val="24"/>
        </w:rPr>
        <w:t xml:space="preserve">en matière d’action en </w:t>
      </w:r>
      <w:r w:rsidR="001067DB">
        <w:rPr>
          <w:rFonts w:ascii="Calibri" w:hAnsi="Calibri" w:cs="Arial"/>
          <w:szCs w:val="24"/>
        </w:rPr>
        <w:t>vices cachés.</w:t>
      </w:r>
    </w:p>
    <w:p w14:paraId="451C64E9" w14:textId="77777777" w:rsidR="00363AC1" w:rsidRPr="00363AC1" w:rsidRDefault="00363AC1" w:rsidP="00FC050A">
      <w:pPr>
        <w:pStyle w:val="Body1"/>
        <w:ind w:left="644"/>
        <w:jc w:val="both"/>
        <w:rPr>
          <w:rFonts w:ascii="Calibri" w:hAnsi="Calibri" w:cs="Arial"/>
          <w:szCs w:val="24"/>
        </w:rPr>
      </w:pPr>
    </w:p>
    <w:p w14:paraId="6D5805AD" w14:textId="77777777" w:rsidR="00113AF6" w:rsidRPr="0088547B" w:rsidRDefault="00113AF6" w:rsidP="0088547B">
      <w:pPr>
        <w:pStyle w:val="Body1"/>
        <w:numPr>
          <w:ilvl w:val="0"/>
          <w:numId w:val="2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lastRenderedPageBreak/>
        <w:t>Délai</w:t>
      </w:r>
      <w:r w:rsidR="00363AC1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 xml:space="preserve"> de procédure</w:t>
      </w:r>
      <w:r w:rsidR="00A00EE3">
        <w:rPr>
          <w:rFonts w:ascii="Calibri" w:hAnsi="Calibri" w:cs="Arial"/>
          <w:szCs w:val="24"/>
        </w:rPr>
        <w:t>.</w:t>
      </w:r>
      <w:r>
        <w:rPr>
          <w:rFonts w:ascii="Calibri" w:hAnsi="Calibri" w:cs="Arial"/>
          <w:szCs w:val="24"/>
        </w:rPr>
        <w:t xml:space="preserve"> </w:t>
      </w:r>
      <w:r w:rsidR="00A00EE3">
        <w:rPr>
          <w:rFonts w:ascii="Calibri" w:hAnsi="Calibri" w:cs="Arial"/>
          <w:szCs w:val="24"/>
        </w:rPr>
        <w:t>Par exemple, l</w:t>
      </w:r>
      <w:r w:rsidRPr="0088547B">
        <w:rPr>
          <w:rFonts w:ascii="Calibri" w:hAnsi="Calibri" w:cs="Arial"/>
          <w:szCs w:val="24"/>
        </w:rPr>
        <w:t>’article 528 du CPC</w:t>
      </w:r>
      <w:r w:rsidR="00363AC1" w:rsidRPr="0088547B">
        <w:rPr>
          <w:rFonts w:ascii="Calibri" w:hAnsi="Calibri" w:cs="Arial"/>
          <w:szCs w:val="24"/>
        </w:rPr>
        <w:t xml:space="preserve"> prévoit que les parties </w:t>
      </w:r>
      <w:r w:rsidRPr="0088547B">
        <w:rPr>
          <w:rFonts w:ascii="Calibri" w:hAnsi="Calibri" w:cs="Arial"/>
          <w:szCs w:val="24"/>
        </w:rPr>
        <w:t>on</w:t>
      </w:r>
      <w:r w:rsidR="00363AC1" w:rsidRPr="0088547B">
        <w:rPr>
          <w:rFonts w:ascii="Calibri" w:hAnsi="Calibri" w:cs="Arial"/>
          <w:szCs w:val="24"/>
        </w:rPr>
        <w:t xml:space="preserve">t </w:t>
      </w:r>
      <w:r w:rsidR="00A00EE3">
        <w:rPr>
          <w:rFonts w:ascii="Calibri" w:hAnsi="Calibri" w:cs="Arial"/>
          <w:szCs w:val="24"/>
        </w:rPr>
        <w:t>1 mois pour exercer les voies de recours</w:t>
      </w:r>
      <w:r w:rsidRPr="0088547B">
        <w:rPr>
          <w:rFonts w:ascii="Calibri" w:hAnsi="Calibri" w:cs="Arial"/>
          <w:szCs w:val="24"/>
        </w:rPr>
        <w:t xml:space="preserve"> à partir de la </w:t>
      </w:r>
      <w:r w:rsidR="00363AC1" w:rsidRPr="0088547B">
        <w:rPr>
          <w:rFonts w:ascii="Calibri" w:hAnsi="Calibri" w:cs="Arial"/>
          <w:szCs w:val="24"/>
        </w:rPr>
        <w:t>notification du jugement, (</w:t>
      </w:r>
      <w:r w:rsidRPr="0088547B">
        <w:rPr>
          <w:rFonts w:ascii="Calibri" w:hAnsi="Calibri" w:cs="Arial"/>
          <w:szCs w:val="24"/>
        </w:rPr>
        <w:t>par hu</w:t>
      </w:r>
      <w:r w:rsidR="00363AC1" w:rsidRPr="0088547B">
        <w:rPr>
          <w:rFonts w:ascii="Calibri" w:hAnsi="Calibri" w:cs="Arial"/>
          <w:szCs w:val="24"/>
        </w:rPr>
        <w:t>issier en matière contentieuse).</w:t>
      </w:r>
    </w:p>
    <w:p w14:paraId="64DE9F2D" w14:textId="77777777" w:rsidR="00113AF6" w:rsidRPr="00363AC1" w:rsidRDefault="00113AF6" w:rsidP="00FC050A">
      <w:pPr>
        <w:pStyle w:val="Paragraphedeliste"/>
        <w:jc w:val="both"/>
        <w:rPr>
          <w:rFonts w:ascii="Calibri" w:hAnsi="Calibri" w:cs="Arial"/>
          <w:lang w:val="fr-FR"/>
        </w:rPr>
      </w:pPr>
    </w:p>
    <w:p w14:paraId="4B8D7FC0" w14:textId="77777777" w:rsidR="00113AF6" w:rsidRDefault="00113AF6" w:rsidP="00FC050A">
      <w:pPr>
        <w:pStyle w:val="Body1"/>
        <w:numPr>
          <w:ilvl w:val="0"/>
          <w:numId w:val="2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Pour un pourvoi en ca</w:t>
      </w:r>
      <w:r w:rsidR="00FB7480">
        <w:rPr>
          <w:rFonts w:ascii="Calibri" w:hAnsi="Calibri" w:cs="Arial"/>
          <w:szCs w:val="24"/>
        </w:rPr>
        <w:t>ssation, le délai est de 2 mois selon l’</w:t>
      </w:r>
      <w:r>
        <w:rPr>
          <w:rFonts w:ascii="Calibri" w:hAnsi="Calibri" w:cs="Arial"/>
          <w:szCs w:val="24"/>
        </w:rPr>
        <w:t>art</w:t>
      </w:r>
      <w:r w:rsidR="00FB7480">
        <w:rPr>
          <w:rFonts w:ascii="Calibri" w:hAnsi="Calibri" w:cs="Arial"/>
          <w:szCs w:val="24"/>
        </w:rPr>
        <w:t xml:space="preserve">icle </w:t>
      </w:r>
      <w:r>
        <w:rPr>
          <w:rFonts w:ascii="Calibri" w:hAnsi="Calibri" w:cs="Arial"/>
          <w:szCs w:val="24"/>
        </w:rPr>
        <w:t>612 du CPC.</w:t>
      </w:r>
    </w:p>
    <w:p w14:paraId="0E6AD300" w14:textId="77777777" w:rsidR="00FB7480" w:rsidRDefault="00FB7480" w:rsidP="00FC050A">
      <w:pPr>
        <w:pStyle w:val="Body1"/>
        <w:jc w:val="both"/>
        <w:rPr>
          <w:rFonts w:ascii="Calibri" w:hAnsi="Calibri" w:cs="Arial"/>
          <w:szCs w:val="24"/>
        </w:rPr>
      </w:pPr>
    </w:p>
    <w:p w14:paraId="332D7035" w14:textId="77777777" w:rsidR="00113AF6" w:rsidRDefault="00113AF6" w:rsidP="00FC050A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Si l’un de ces délais n’est pas respecté, la demande sera irrecevable et ne sera pas exam</w:t>
      </w:r>
      <w:r w:rsidR="006A1AB1">
        <w:rPr>
          <w:rFonts w:ascii="Calibri" w:hAnsi="Calibri" w:cs="Arial"/>
          <w:szCs w:val="24"/>
        </w:rPr>
        <w:t>i</w:t>
      </w:r>
      <w:r>
        <w:rPr>
          <w:rFonts w:ascii="Calibri" w:hAnsi="Calibri" w:cs="Arial"/>
          <w:szCs w:val="24"/>
        </w:rPr>
        <w:t>né par le juge</w:t>
      </w:r>
      <w:r w:rsidR="006A1AB1">
        <w:rPr>
          <w:rFonts w:ascii="Calibri" w:hAnsi="Calibri" w:cs="Arial"/>
          <w:szCs w:val="24"/>
        </w:rPr>
        <w:t>.</w:t>
      </w:r>
    </w:p>
    <w:p w14:paraId="7136667C" w14:textId="77777777" w:rsidR="00113AF6" w:rsidRPr="00207FE9" w:rsidRDefault="00113AF6" w:rsidP="00113AF6">
      <w:pPr>
        <w:pStyle w:val="Body1"/>
        <w:rPr>
          <w:rFonts w:ascii="Calibri" w:hAnsi="Calibri" w:cs="Arial"/>
          <w:szCs w:val="24"/>
        </w:rPr>
      </w:pPr>
    </w:p>
    <w:p w14:paraId="4F069CF4" w14:textId="77777777" w:rsidR="00113AF6" w:rsidRPr="006A1AB1" w:rsidRDefault="00113AF6" w:rsidP="006A1AB1">
      <w:pPr>
        <w:pStyle w:val="Body1"/>
        <w:jc w:val="center"/>
        <w:rPr>
          <w:rFonts w:ascii="Calibri" w:hAnsi="Calibri" w:cs="Arial"/>
          <w:b/>
          <w:szCs w:val="24"/>
        </w:rPr>
      </w:pPr>
      <w:r w:rsidRPr="006A1AB1">
        <w:rPr>
          <w:rFonts w:ascii="Calibri" w:hAnsi="Calibri" w:cs="Arial"/>
          <w:b/>
          <w:szCs w:val="24"/>
          <w:highlight w:val="green"/>
        </w:rPr>
        <w:t>Quels sont les différents actes du procès ?</w:t>
      </w:r>
    </w:p>
    <w:p w14:paraId="4BC02ADC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26391B2E" w14:textId="77777777" w:rsidR="00113AF6" w:rsidRPr="006A1AB1" w:rsidRDefault="00113AF6" w:rsidP="00113AF6">
      <w:pPr>
        <w:pStyle w:val="Body1"/>
        <w:rPr>
          <w:rFonts w:ascii="Calibri" w:hAnsi="Calibri" w:cs="Arial"/>
          <w:b/>
          <w:szCs w:val="24"/>
        </w:rPr>
      </w:pPr>
      <w:r w:rsidRPr="006A1AB1">
        <w:rPr>
          <w:rFonts w:ascii="Calibri" w:hAnsi="Calibri" w:cs="Arial"/>
          <w:b/>
          <w:szCs w:val="24"/>
          <w:highlight w:val="yellow"/>
        </w:rPr>
        <w:t>Les demandes</w:t>
      </w:r>
    </w:p>
    <w:p w14:paraId="77D484B5" w14:textId="77777777" w:rsidR="00AA3B11" w:rsidRDefault="00AA3B11" w:rsidP="00113AF6">
      <w:pPr>
        <w:pStyle w:val="Body1"/>
        <w:rPr>
          <w:rFonts w:ascii="Calibri" w:hAnsi="Calibri" w:cs="Arial"/>
          <w:szCs w:val="24"/>
        </w:rPr>
      </w:pPr>
    </w:p>
    <w:p w14:paraId="2EF3FB28" w14:textId="77777777" w:rsidR="00113AF6" w:rsidRDefault="00AA3B11" w:rsidP="00FC050A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</w:t>
      </w:r>
      <w:r w:rsidR="00113AF6">
        <w:rPr>
          <w:rFonts w:ascii="Calibri" w:hAnsi="Calibri" w:cs="Arial"/>
          <w:szCs w:val="24"/>
        </w:rPr>
        <w:t>e sont des actes juridiques par lequel une personne soumet au juge une prétention.</w:t>
      </w:r>
    </w:p>
    <w:p w14:paraId="60F6FA7B" w14:textId="77777777" w:rsidR="00AA3B11" w:rsidRDefault="00AA3B11" w:rsidP="00113AF6">
      <w:pPr>
        <w:pStyle w:val="Body1"/>
        <w:rPr>
          <w:rFonts w:ascii="Calibri" w:hAnsi="Calibri" w:cs="Arial"/>
          <w:szCs w:val="24"/>
        </w:rPr>
      </w:pPr>
    </w:p>
    <w:p w14:paraId="7DF42F6D" w14:textId="77777777" w:rsidR="00113AF6" w:rsidRDefault="00113AF6" w:rsidP="00113AF6">
      <w:pPr>
        <w:pStyle w:val="Body1"/>
        <w:rPr>
          <w:rFonts w:ascii="Calibri" w:hAnsi="Calibri" w:cs="Arial"/>
          <w:b/>
          <w:szCs w:val="24"/>
        </w:rPr>
      </w:pPr>
      <w:r w:rsidRPr="00AA3B11">
        <w:rPr>
          <w:rFonts w:ascii="Calibri" w:hAnsi="Calibri" w:cs="Arial"/>
          <w:b/>
          <w:szCs w:val="24"/>
          <w:highlight w:val="yellow"/>
        </w:rPr>
        <w:t>La demande initiale</w:t>
      </w:r>
    </w:p>
    <w:p w14:paraId="1BCC5446" w14:textId="77777777" w:rsidR="00AA3B11" w:rsidRPr="00AA3B11" w:rsidRDefault="00AA3B11" w:rsidP="00113AF6">
      <w:pPr>
        <w:pStyle w:val="Body1"/>
        <w:rPr>
          <w:rFonts w:ascii="Calibri" w:hAnsi="Calibri" w:cs="Arial"/>
          <w:b/>
          <w:szCs w:val="24"/>
        </w:rPr>
      </w:pPr>
    </w:p>
    <w:p w14:paraId="08C9B5A9" w14:textId="77777777" w:rsidR="00113AF6" w:rsidRDefault="00D16C37" w:rsidP="00FC050A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L’a</w:t>
      </w:r>
      <w:r w:rsidR="00113AF6">
        <w:rPr>
          <w:rFonts w:ascii="Calibri" w:hAnsi="Calibri" w:cs="Arial"/>
          <w:szCs w:val="24"/>
        </w:rPr>
        <w:t>rt</w:t>
      </w:r>
      <w:r>
        <w:rPr>
          <w:rFonts w:ascii="Calibri" w:hAnsi="Calibri" w:cs="Arial"/>
          <w:szCs w:val="24"/>
        </w:rPr>
        <w:t>icle</w:t>
      </w:r>
      <w:r w:rsidR="00113AF6">
        <w:rPr>
          <w:rFonts w:ascii="Calibri" w:hAnsi="Calibri" w:cs="Arial"/>
          <w:szCs w:val="24"/>
        </w:rPr>
        <w:t xml:space="preserve"> 53 du CPC</w:t>
      </w:r>
      <w:r>
        <w:rPr>
          <w:rFonts w:ascii="Calibri" w:hAnsi="Calibri" w:cs="Arial"/>
          <w:szCs w:val="24"/>
        </w:rPr>
        <w:t xml:space="preserve"> prévoit que l</w:t>
      </w:r>
      <w:r w:rsidR="00113AF6">
        <w:rPr>
          <w:rFonts w:ascii="Calibri" w:hAnsi="Calibri" w:cs="Arial"/>
          <w:szCs w:val="24"/>
        </w:rPr>
        <w:t>’initiative vient de la partie et non du juge. Cette demande introduit l’</w:t>
      </w:r>
      <w:r>
        <w:rPr>
          <w:rFonts w:ascii="Calibri" w:hAnsi="Calibri" w:cs="Arial"/>
          <w:szCs w:val="24"/>
        </w:rPr>
        <w:t xml:space="preserve">instance et va </w:t>
      </w:r>
      <w:r w:rsidR="00113AF6">
        <w:rPr>
          <w:rFonts w:ascii="Calibri" w:hAnsi="Calibri" w:cs="Arial"/>
          <w:szCs w:val="24"/>
        </w:rPr>
        <w:t>déclencher un processus qui conduit nécessairement à une décision du juge. Le juge va répon</w:t>
      </w:r>
      <w:r w:rsidR="00DC7CC9">
        <w:rPr>
          <w:rFonts w:ascii="Calibri" w:hAnsi="Calibri" w:cs="Arial"/>
          <w:szCs w:val="24"/>
        </w:rPr>
        <w:t xml:space="preserve">dre sur le fond ou sur </w:t>
      </w:r>
      <w:r w:rsidR="006F34CA">
        <w:rPr>
          <w:rFonts w:ascii="Calibri" w:hAnsi="Calibri" w:cs="Arial"/>
          <w:szCs w:val="24"/>
        </w:rPr>
        <w:t>l’existence de l’action</w:t>
      </w:r>
      <w:r w:rsidR="00DC7CC9">
        <w:rPr>
          <w:rFonts w:ascii="Calibri" w:hAnsi="Calibri" w:cs="Arial"/>
          <w:szCs w:val="24"/>
        </w:rPr>
        <w:t xml:space="preserve"> (demande irrecevable, par exemple).</w:t>
      </w:r>
    </w:p>
    <w:p w14:paraId="3D4AB8A9" w14:textId="77777777" w:rsidR="00113AF6" w:rsidRDefault="00113AF6" w:rsidP="00FC050A">
      <w:pPr>
        <w:pStyle w:val="Body1"/>
        <w:jc w:val="both"/>
        <w:rPr>
          <w:rFonts w:ascii="Calibri" w:hAnsi="Calibri" w:cs="Arial"/>
          <w:szCs w:val="24"/>
        </w:rPr>
      </w:pPr>
    </w:p>
    <w:p w14:paraId="769B01EF" w14:textId="77777777" w:rsidR="00113AF6" w:rsidRDefault="00113AF6" w:rsidP="00FC050A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Pour mettre fin à l’instance, l</w:t>
      </w:r>
      <w:r w:rsidR="006E42B8">
        <w:rPr>
          <w:rFonts w:ascii="Calibri" w:hAnsi="Calibri" w:cs="Arial"/>
          <w:szCs w:val="24"/>
        </w:rPr>
        <w:t xml:space="preserve">es parties peuvent se désister selon l’article </w:t>
      </w:r>
      <w:r>
        <w:rPr>
          <w:rFonts w:ascii="Calibri" w:hAnsi="Calibri" w:cs="Arial"/>
          <w:szCs w:val="24"/>
        </w:rPr>
        <w:t>1</w:t>
      </w:r>
      <w:r w:rsidRPr="00141BE8">
        <w:rPr>
          <w:rFonts w:ascii="Calibri" w:hAnsi="Calibri" w:cs="Arial"/>
          <w:szCs w:val="24"/>
          <w:vertAlign w:val="superscript"/>
        </w:rPr>
        <w:t>er</w:t>
      </w:r>
      <w:r>
        <w:rPr>
          <w:rFonts w:ascii="Calibri" w:hAnsi="Calibri" w:cs="Arial"/>
          <w:szCs w:val="24"/>
        </w:rPr>
        <w:t xml:space="preserve"> du CPC. Elles introduisent l</w:t>
      </w:r>
      <w:r w:rsidR="0098694B">
        <w:rPr>
          <w:rFonts w:ascii="Calibri" w:hAnsi="Calibri" w:cs="Arial"/>
          <w:szCs w:val="24"/>
        </w:rPr>
        <w:t xml:space="preserve">’instance et </w:t>
      </w:r>
      <w:r>
        <w:rPr>
          <w:rFonts w:ascii="Calibri" w:hAnsi="Calibri" w:cs="Arial"/>
          <w:szCs w:val="24"/>
        </w:rPr>
        <w:t>peuvent y mettre fin. Si elles ne le font pas elles-même</w:t>
      </w:r>
      <w:r w:rsidR="00201453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>, il y aura un jugement qui mettra fin à cette instance.</w:t>
      </w:r>
    </w:p>
    <w:p w14:paraId="33A62629" w14:textId="77777777" w:rsidR="00201453" w:rsidRDefault="00201453" w:rsidP="00113AF6">
      <w:pPr>
        <w:pStyle w:val="Body1"/>
        <w:rPr>
          <w:rFonts w:ascii="Calibri" w:hAnsi="Calibri" w:cs="Arial"/>
          <w:szCs w:val="24"/>
        </w:rPr>
      </w:pPr>
    </w:p>
    <w:p w14:paraId="0812C1F3" w14:textId="77777777" w:rsidR="00113AF6" w:rsidRPr="00201453" w:rsidRDefault="00113AF6" w:rsidP="00201453">
      <w:pPr>
        <w:pStyle w:val="Body1"/>
        <w:jc w:val="center"/>
        <w:rPr>
          <w:rFonts w:ascii="Calibri" w:hAnsi="Calibri" w:cs="Arial"/>
          <w:b/>
          <w:szCs w:val="24"/>
        </w:rPr>
      </w:pPr>
      <w:r w:rsidRPr="00201453">
        <w:rPr>
          <w:rFonts w:ascii="Calibri" w:hAnsi="Calibri" w:cs="Arial"/>
          <w:b/>
          <w:szCs w:val="24"/>
          <w:highlight w:val="green"/>
        </w:rPr>
        <w:t>Quelle est la forme de cette demande initiale ?</w:t>
      </w:r>
    </w:p>
    <w:p w14:paraId="52A72C97" w14:textId="77777777" w:rsidR="00201453" w:rsidRDefault="00201453" w:rsidP="00113AF6">
      <w:pPr>
        <w:pStyle w:val="Body1"/>
        <w:rPr>
          <w:rFonts w:ascii="Calibri" w:hAnsi="Calibri" w:cs="Arial"/>
          <w:szCs w:val="24"/>
        </w:rPr>
      </w:pPr>
    </w:p>
    <w:p w14:paraId="7266883A" w14:textId="77777777" w:rsidR="00113AF6" w:rsidRPr="00B253C3" w:rsidRDefault="00201453" w:rsidP="00113AF6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L’article 56 du CPC prévoit que </w:t>
      </w:r>
      <w:r w:rsidRPr="0095406F">
        <w:rPr>
          <w:rFonts w:ascii="Calibri" w:hAnsi="Calibri" w:cs="Arial"/>
          <w:szCs w:val="24"/>
          <w:highlight w:val="yellow"/>
        </w:rPr>
        <w:t>l</w:t>
      </w:r>
      <w:r w:rsidR="00113AF6" w:rsidRPr="0095406F">
        <w:rPr>
          <w:rFonts w:ascii="Calibri" w:hAnsi="Calibri" w:cs="Arial"/>
          <w:szCs w:val="24"/>
          <w:highlight w:val="yellow"/>
        </w:rPr>
        <w:t>’assignation</w:t>
      </w:r>
      <w:r w:rsidR="00113AF6">
        <w:rPr>
          <w:rFonts w:ascii="Calibri" w:hAnsi="Calibri" w:cs="Arial"/>
          <w:szCs w:val="24"/>
        </w:rPr>
        <w:t xml:space="preserve"> est un acte d’huissier par lequel le demandeur cite son adversaire à comparaître devant le juge. </w:t>
      </w:r>
    </w:p>
    <w:p w14:paraId="6284FE12" w14:textId="77777777" w:rsidR="0095406F" w:rsidRDefault="0095406F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Devant le TGI, o</w:t>
      </w:r>
      <w:r w:rsidR="003606A7">
        <w:rPr>
          <w:rFonts w:ascii="Calibri" w:hAnsi="Calibri" w:cs="Arial"/>
          <w:szCs w:val="24"/>
        </w:rPr>
        <w:t xml:space="preserve">n </w:t>
      </w:r>
      <w:r>
        <w:rPr>
          <w:rFonts w:ascii="Calibri" w:hAnsi="Calibri" w:cs="Arial"/>
          <w:szCs w:val="24"/>
        </w:rPr>
        <w:t>pe</w:t>
      </w:r>
      <w:r w:rsidR="00FC038D">
        <w:rPr>
          <w:rFonts w:ascii="Calibri" w:hAnsi="Calibri" w:cs="Arial"/>
          <w:szCs w:val="24"/>
        </w:rPr>
        <w:t xml:space="preserve">ut également </w:t>
      </w:r>
      <w:r w:rsidR="00113AF6">
        <w:rPr>
          <w:rFonts w:ascii="Calibri" w:hAnsi="Calibri" w:cs="Arial"/>
          <w:szCs w:val="24"/>
        </w:rPr>
        <w:t>saisi</w:t>
      </w:r>
      <w:r>
        <w:rPr>
          <w:rFonts w:ascii="Calibri" w:hAnsi="Calibri" w:cs="Arial"/>
          <w:szCs w:val="24"/>
        </w:rPr>
        <w:t xml:space="preserve">r le juge par </w:t>
      </w:r>
      <w:r w:rsidRPr="0095406F">
        <w:rPr>
          <w:rFonts w:ascii="Calibri" w:hAnsi="Calibri" w:cs="Arial"/>
          <w:szCs w:val="24"/>
          <w:highlight w:val="yellow"/>
        </w:rPr>
        <w:t>requê</w:t>
      </w:r>
      <w:r w:rsidR="00113AF6" w:rsidRPr="0095406F">
        <w:rPr>
          <w:rFonts w:ascii="Calibri" w:hAnsi="Calibri" w:cs="Arial"/>
          <w:szCs w:val="24"/>
          <w:highlight w:val="yellow"/>
        </w:rPr>
        <w:t>te conjointe</w:t>
      </w:r>
      <w:r>
        <w:rPr>
          <w:rFonts w:ascii="Calibri" w:hAnsi="Calibri" w:cs="Arial"/>
          <w:szCs w:val="24"/>
        </w:rPr>
        <w:t xml:space="preserve"> </w:t>
      </w:r>
      <w:r w:rsidR="00113AF6">
        <w:rPr>
          <w:rFonts w:ascii="Calibri" w:hAnsi="Calibri" w:cs="Arial"/>
          <w:szCs w:val="24"/>
        </w:rPr>
        <w:t xml:space="preserve">prévue à l’article 57 du CPC. </w:t>
      </w:r>
      <w:r>
        <w:rPr>
          <w:rFonts w:ascii="Calibri" w:hAnsi="Calibri" w:cs="Arial"/>
          <w:szCs w:val="24"/>
        </w:rPr>
        <w:t xml:space="preserve"> </w:t>
      </w:r>
    </w:p>
    <w:p w14:paraId="2313F30D" w14:textId="77777777" w:rsidR="00113AF6" w:rsidRPr="0095406F" w:rsidRDefault="00113AF6" w:rsidP="00FC038D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 w:rsidRPr="0095406F">
        <w:rPr>
          <w:rFonts w:ascii="Calibri" w:hAnsi="Calibri" w:cs="Arial"/>
          <w:szCs w:val="24"/>
        </w:rPr>
        <w:t>Les parties font un acte commun et vont le donner au secrétariat du greffe</w:t>
      </w:r>
      <w:r w:rsidR="0095406F">
        <w:rPr>
          <w:rFonts w:ascii="Calibri" w:hAnsi="Calibri" w:cs="Arial"/>
          <w:szCs w:val="24"/>
        </w:rPr>
        <w:t>.</w:t>
      </w:r>
    </w:p>
    <w:p w14:paraId="4F5FEC86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2E01B05D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1D7B7E7" w14:textId="77777777" w:rsidR="00113AF6" w:rsidRDefault="0095406F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highlight w:val="yellow"/>
        </w:rPr>
        <w:t xml:space="preserve">La </w:t>
      </w:r>
      <w:r w:rsidRPr="0095406F">
        <w:rPr>
          <w:rFonts w:ascii="Calibri" w:hAnsi="Calibri" w:cs="Arial"/>
          <w:szCs w:val="24"/>
          <w:highlight w:val="yellow"/>
        </w:rPr>
        <w:t>Requê</w:t>
      </w:r>
      <w:r w:rsidR="00113AF6" w:rsidRPr="0095406F">
        <w:rPr>
          <w:rFonts w:ascii="Calibri" w:hAnsi="Calibri" w:cs="Arial"/>
          <w:szCs w:val="24"/>
          <w:highlight w:val="yellow"/>
        </w:rPr>
        <w:t>te</w:t>
      </w:r>
      <w:r>
        <w:rPr>
          <w:rFonts w:ascii="Calibri" w:hAnsi="Calibri" w:cs="Arial"/>
          <w:szCs w:val="24"/>
        </w:rPr>
        <w:t xml:space="preserve"> est le cas où</w:t>
      </w:r>
      <w:r w:rsidR="00113AF6">
        <w:rPr>
          <w:rFonts w:ascii="Calibri" w:hAnsi="Calibri" w:cs="Arial"/>
          <w:szCs w:val="24"/>
        </w:rPr>
        <w:t xml:space="preserve"> l</w:t>
      </w:r>
      <w:r w:rsidR="00135341">
        <w:rPr>
          <w:rFonts w:ascii="Calibri" w:hAnsi="Calibri" w:cs="Arial"/>
          <w:szCs w:val="24"/>
        </w:rPr>
        <w:t>e demandeur</w:t>
      </w:r>
      <w:r>
        <w:rPr>
          <w:rFonts w:ascii="Calibri" w:hAnsi="Calibri" w:cs="Arial"/>
          <w:szCs w:val="24"/>
        </w:rPr>
        <w:t xml:space="preserve"> saisit</w:t>
      </w:r>
      <w:r w:rsidR="00135341">
        <w:rPr>
          <w:rFonts w:ascii="Calibri" w:hAnsi="Calibri" w:cs="Arial"/>
          <w:szCs w:val="24"/>
        </w:rPr>
        <w:t xml:space="preserve"> le juge</w:t>
      </w:r>
      <w:r w:rsidR="00113AF6">
        <w:rPr>
          <w:rFonts w:ascii="Calibri" w:hAnsi="Calibri" w:cs="Arial"/>
          <w:szCs w:val="24"/>
        </w:rPr>
        <w:t xml:space="preserve"> de manière unilatérale sans prévenir le défendeur</w:t>
      </w:r>
      <w:r w:rsidR="00032CBA">
        <w:rPr>
          <w:rFonts w:ascii="Calibri" w:hAnsi="Calibri" w:cs="Arial"/>
          <w:szCs w:val="24"/>
        </w:rPr>
        <w:t>.</w:t>
      </w:r>
    </w:p>
    <w:p w14:paraId="1BB6E3C6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524CE803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6B6DA70F" w14:textId="77777777" w:rsidR="00113AF6" w:rsidRDefault="00CD5D66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highlight w:val="yellow"/>
        </w:rPr>
        <w:t>La d</w:t>
      </w:r>
      <w:r w:rsidR="00113AF6" w:rsidRPr="00CD5D66">
        <w:rPr>
          <w:rFonts w:ascii="Calibri" w:hAnsi="Calibri" w:cs="Arial"/>
          <w:szCs w:val="24"/>
          <w:highlight w:val="yellow"/>
        </w:rPr>
        <w:t>éclaration au greffe</w:t>
      </w:r>
      <w:r w:rsidR="00113AF6">
        <w:rPr>
          <w:rFonts w:ascii="Calibri" w:hAnsi="Calibri" w:cs="Arial"/>
          <w:szCs w:val="24"/>
        </w:rPr>
        <w:t> co</w:t>
      </w:r>
      <w:r w:rsidR="003A6C3E">
        <w:rPr>
          <w:rFonts w:ascii="Calibri" w:hAnsi="Calibri" w:cs="Arial"/>
          <w:szCs w:val="24"/>
        </w:rPr>
        <w:t xml:space="preserve">ncerne uniquement les affaires </w:t>
      </w:r>
      <w:r w:rsidR="00113AF6">
        <w:rPr>
          <w:rFonts w:ascii="Calibri" w:hAnsi="Calibri" w:cs="Arial"/>
          <w:szCs w:val="24"/>
        </w:rPr>
        <w:t>dont le montant est inférieur à 4000€.</w:t>
      </w:r>
      <w:r w:rsidR="007F3D84">
        <w:rPr>
          <w:rFonts w:ascii="Calibri" w:hAnsi="Calibri" w:cs="Arial"/>
          <w:szCs w:val="24"/>
        </w:rPr>
        <w:t xml:space="preserve"> (devant TI)</w:t>
      </w:r>
    </w:p>
    <w:p w14:paraId="68AEE0D5" w14:textId="77777777" w:rsidR="00113AF6" w:rsidRDefault="00113AF6" w:rsidP="00FC050A">
      <w:pPr>
        <w:pStyle w:val="Body1"/>
        <w:jc w:val="both"/>
        <w:rPr>
          <w:rFonts w:ascii="Calibri" w:hAnsi="Calibri" w:cs="Arial"/>
          <w:szCs w:val="24"/>
        </w:rPr>
      </w:pPr>
    </w:p>
    <w:p w14:paraId="17F44B49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1F8E552" w14:textId="77777777" w:rsidR="00CD5D66" w:rsidRDefault="00113AF6" w:rsidP="00FC050A">
      <w:pPr>
        <w:pStyle w:val="Body1"/>
        <w:numPr>
          <w:ilvl w:val="0"/>
          <w:numId w:val="1"/>
        </w:numPr>
        <w:jc w:val="both"/>
        <w:rPr>
          <w:rFonts w:ascii="Calibri" w:hAnsi="Calibri" w:cs="Arial"/>
          <w:szCs w:val="24"/>
        </w:rPr>
      </w:pPr>
      <w:r w:rsidRPr="00CD5D66">
        <w:rPr>
          <w:rFonts w:ascii="Calibri" w:hAnsi="Calibri" w:cs="Arial"/>
          <w:szCs w:val="24"/>
          <w:highlight w:val="yellow"/>
        </w:rPr>
        <w:t>La présentation volontaire des parties devant le tribunal</w:t>
      </w:r>
      <w:r w:rsidR="00CD5D66">
        <w:rPr>
          <w:rFonts w:ascii="Calibri" w:hAnsi="Calibri" w:cs="Arial"/>
          <w:szCs w:val="24"/>
        </w:rPr>
        <w:t>, (tribunal de commerce, le tribunal d’instance ou</w:t>
      </w:r>
      <w:r>
        <w:rPr>
          <w:rFonts w:ascii="Calibri" w:hAnsi="Calibri" w:cs="Arial"/>
          <w:szCs w:val="24"/>
        </w:rPr>
        <w:t xml:space="preserve"> conseil de</w:t>
      </w:r>
      <w:r w:rsidR="00CD5D66">
        <w:rPr>
          <w:rFonts w:ascii="Calibri" w:hAnsi="Calibri" w:cs="Arial"/>
          <w:szCs w:val="24"/>
        </w:rPr>
        <w:t>s</w:t>
      </w:r>
      <w:r>
        <w:rPr>
          <w:rFonts w:ascii="Calibri" w:hAnsi="Calibri" w:cs="Arial"/>
          <w:szCs w:val="24"/>
        </w:rPr>
        <w:t xml:space="preserve"> prud’homme</w:t>
      </w:r>
      <w:r w:rsidR="00CD5D66">
        <w:rPr>
          <w:rFonts w:ascii="Calibri" w:hAnsi="Calibri" w:cs="Arial"/>
          <w:szCs w:val="24"/>
        </w:rPr>
        <w:t>s).</w:t>
      </w:r>
    </w:p>
    <w:p w14:paraId="14823E4D" w14:textId="77777777" w:rsidR="00113AF6" w:rsidRDefault="00113AF6" w:rsidP="00FC050A">
      <w:pPr>
        <w:pStyle w:val="Body1"/>
        <w:jc w:val="both"/>
        <w:rPr>
          <w:rFonts w:ascii="Calibri" w:hAnsi="Calibri" w:cs="Arial"/>
          <w:szCs w:val="24"/>
        </w:rPr>
      </w:pPr>
    </w:p>
    <w:p w14:paraId="639CDCB3" w14:textId="77777777" w:rsidR="00113AF6" w:rsidRDefault="00CB49F1" w:rsidP="00CB49F1">
      <w:pPr>
        <w:pStyle w:val="Body1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</w:t>
      </w:r>
      <w:r w:rsidR="00113AF6">
        <w:rPr>
          <w:rFonts w:ascii="Calibri" w:hAnsi="Calibri" w:cs="Arial"/>
          <w:szCs w:val="24"/>
        </w:rPr>
        <w:t>i une seule person</w:t>
      </w:r>
      <w:r>
        <w:rPr>
          <w:rFonts w:ascii="Calibri" w:hAnsi="Calibri" w:cs="Arial"/>
          <w:szCs w:val="24"/>
        </w:rPr>
        <w:t>ne</w:t>
      </w:r>
      <w:r w:rsidR="004F6F4D">
        <w:rPr>
          <w:rFonts w:ascii="Calibri" w:hAnsi="Calibri" w:cs="Arial"/>
          <w:szCs w:val="24"/>
        </w:rPr>
        <w:t xml:space="preserve"> est à l’origine de la demande</w:t>
      </w:r>
      <w:r>
        <w:rPr>
          <w:rFonts w:ascii="Calibri" w:hAnsi="Calibri" w:cs="Arial"/>
          <w:szCs w:val="24"/>
        </w:rPr>
        <w:t>, il faut être sû</w:t>
      </w:r>
      <w:r w:rsidR="00113AF6">
        <w:rPr>
          <w:rFonts w:ascii="Calibri" w:hAnsi="Calibri" w:cs="Arial"/>
          <w:szCs w:val="24"/>
        </w:rPr>
        <w:t>r que</w:t>
      </w:r>
      <w:r>
        <w:rPr>
          <w:rFonts w:ascii="Calibri" w:hAnsi="Calibri" w:cs="Arial"/>
          <w:szCs w:val="24"/>
        </w:rPr>
        <w:t xml:space="preserve"> le </w:t>
      </w:r>
      <w:r w:rsidR="00113AF6">
        <w:rPr>
          <w:rFonts w:ascii="Calibri" w:hAnsi="Calibri" w:cs="Arial"/>
          <w:szCs w:val="24"/>
        </w:rPr>
        <w:t>défendeur soit informé</w:t>
      </w:r>
      <w:r>
        <w:rPr>
          <w:rFonts w:ascii="Calibri" w:hAnsi="Calibri" w:cs="Arial"/>
          <w:szCs w:val="24"/>
        </w:rPr>
        <w:t>, en matière contentieuse. En revanche, si les deux</w:t>
      </w:r>
      <w:r w:rsidR="00113AF6">
        <w:rPr>
          <w:rFonts w:ascii="Calibri" w:hAnsi="Calibri" w:cs="Arial"/>
          <w:szCs w:val="24"/>
        </w:rPr>
        <w:t xml:space="preserve"> partie</w:t>
      </w:r>
      <w:r>
        <w:rPr>
          <w:rFonts w:ascii="Calibri" w:hAnsi="Calibri" w:cs="Arial"/>
          <w:szCs w:val="24"/>
        </w:rPr>
        <w:t xml:space="preserve">s </w:t>
      </w:r>
      <w:r w:rsidR="00113AF6">
        <w:rPr>
          <w:rFonts w:ascii="Calibri" w:hAnsi="Calibri" w:cs="Arial"/>
          <w:szCs w:val="24"/>
        </w:rPr>
        <w:t>participent à l’introduction de l’instance, on va</w:t>
      </w:r>
      <w:r>
        <w:rPr>
          <w:rFonts w:ascii="Calibri" w:hAnsi="Calibri" w:cs="Arial"/>
          <w:szCs w:val="24"/>
        </w:rPr>
        <w:t xml:space="preserve"> considérer qu’elles </w:t>
      </w:r>
      <w:r w:rsidR="003E2CA7">
        <w:rPr>
          <w:rFonts w:ascii="Calibri" w:hAnsi="Calibri" w:cs="Arial"/>
          <w:szCs w:val="24"/>
        </w:rPr>
        <w:t xml:space="preserve">en </w:t>
      </w:r>
      <w:r w:rsidR="00B253C3">
        <w:rPr>
          <w:rFonts w:ascii="Calibri" w:hAnsi="Calibri" w:cs="Arial"/>
          <w:szCs w:val="24"/>
        </w:rPr>
        <w:t>sont informées</w:t>
      </w:r>
      <w:r w:rsidR="003E2CA7">
        <w:rPr>
          <w:rFonts w:ascii="Calibri" w:hAnsi="Calibri" w:cs="Arial"/>
          <w:szCs w:val="24"/>
        </w:rPr>
        <w:t>.</w:t>
      </w:r>
    </w:p>
    <w:p w14:paraId="13CB98DF" w14:textId="77777777" w:rsidR="00FF24D7" w:rsidRDefault="00FF24D7" w:rsidP="00CB49F1">
      <w:pPr>
        <w:pStyle w:val="Body1"/>
        <w:jc w:val="both"/>
        <w:rPr>
          <w:rFonts w:ascii="Calibri" w:hAnsi="Calibri" w:cs="Arial"/>
          <w:szCs w:val="24"/>
        </w:rPr>
      </w:pPr>
    </w:p>
    <w:p w14:paraId="04B44E53" w14:textId="77777777" w:rsidR="00FF24D7" w:rsidRDefault="00FF24D7" w:rsidP="00CB49F1">
      <w:pPr>
        <w:pStyle w:val="Body1"/>
        <w:jc w:val="both"/>
        <w:rPr>
          <w:rFonts w:ascii="Calibri" w:hAnsi="Calibri" w:cs="Arial"/>
          <w:szCs w:val="24"/>
        </w:rPr>
      </w:pPr>
    </w:p>
    <w:p w14:paraId="142D792E" w14:textId="77777777" w:rsidR="002E6249" w:rsidRPr="00FF24D7" w:rsidRDefault="004F6F4D" w:rsidP="00D37D52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PV du 15 avril 2013</w:t>
      </w:r>
    </w:p>
    <w:p w14:paraId="2F8EA7F0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</w:p>
    <w:p w14:paraId="0ECD6DF1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</w:p>
    <w:p w14:paraId="79FF8286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2.2 – La défense</w:t>
      </w:r>
    </w:p>
    <w:p w14:paraId="5A3F55ED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  <w:u w:val="single"/>
        </w:rPr>
        <w:t>a) Défenses au fond art 71</w:t>
      </w:r>
    </w:p>
    <w:p w14:paraId="4AD039B1" w14:textId="77777777" w:rsidR="00CD769B" w:rsidRDefault="00CD769B" w:rsidP="00FF24D7">
      <w:pPr>
        <w:pStyle w:val="Body1"/>
        <w:rPr>
          <w:rFonts w:ascii="Calibri" w:hAnsi="Calibri" w:cs="Arial"/>
          <w:u w:val="single"/>
        </w:rPr>
      </w:pPr>
    </w:p>
    <w:p w14:paraId="314217EA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  <w:u w:val="single"/>
        </w:rPr>
        <w:t>b) Exceptions de procédure</w:t>
      </w:r>
    </w:p>
    <w:p w14:paraId="4F9C32F7" w14:textId="77777777" w:rsidR="00CD769B" w:rsidRDefault="00CD769B" w:rsidP="00FF24D7">
      <w:pPr>
        <w:pStyle w:val="Body1"/>
        <w:rPr>
          <w:rFonts w:ascii="Calibri" w:hAnsi="Calibri" w:cs="Arial"/>
        </w:rPr>
      </w:pPr>
    </w:p>
    <w:p w14:paraId="365C0818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4 catégories: incompétence, litispendance/connexité, dilatoire, nullité</w:t>
      </w:r>
    </w:p>
    <w:p w14:paraId="03AF5CCF" w14:textId="77777777" w:rsidR="00CD769B" w:rsidRDefault="00CD769B" w:rsidP="00FF24D7">
      <w:pPr>
        <w:pStyle w:val="Body1"/>
        <w:rPr>
          <w:rFonts w:ascii="Calibri" w:hAnsi="Calibri" w:cs="Arial"/>
          <w:u w:val="single"/>
        </w:rPr>
      </w:pPr>
    </w:p>
    <w:p w14:paraId="79882DBD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  <w:u w:val="single"/>
        </w:rPr>
        <w:t>c) Fins de non-recevoir</w:t>
      </w:r>
    </w:p>
    <w:p w14:paraId="784FA2DE" w14:textId="77777777" w:rsidR="00CD769B" w:rsidRDefault="00CD769B" w:rsidP="00FF24D7">
      <w:pPr>
        <w:pStyle w:val="Body1"/>
        <w:rPr>
          <w:rFonts w:ascii="Calibri" w:hAnsi="Calibri" w:cs="Arial"/>
        </w:rPr>
      </w:pPr>
    </w:p>
    <w:p w14:paraId="22281E8E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2.3 Effets: saisine de la juridiction et autres</w:t>
      </w:r>
    </w:p>
    <w:p w14:paraId="7828E375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demande initiale ou constitution défense permet de saisir le juge: remise de la requête conjointe ou copie de l'assignation au greffe de la juridiction</w:t>
      </w:r>
    </w:p>
    <w:p w14:paraId="53AAF058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placement</w:t>
      </w:r>
    </w:p>
    <w:p w14:paraId="5FD34F16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enrôlement</w:t>
      </w:r>
    </w:p>
    <w:p w14:paraId="488DE724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délai pour proc devant TGI (à peine de caducité) 4 mois devant TGI 757 cpc</w:t>
      </w:r>
    </w:p>
    <w:p w14:paraId="06E93C5A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</w:p>
    <w:p w14:paraId="3CBD0E3B" w14:textId="77777777" w:rsidR="00FF24D7" w:rsidRPr="00FF24D7" w:rsidRDefault="00FF24D7" w:rsidP="00FF24D7">
      <w:pPr>
        <w:pStyle w:val="Body1"/>
        <w:rPr>
          <w:rFonts w:ascii="Calibri" w:hAnsi="Calibri" w:cs="Arial"/>
        </w:rPr>
      </w:pPr>
      <w:r w:rsidRPr="00FF24D7">
        <w:rPr>
          <w:rFonts w:ascii="Calibri" w:hAnsi="Calibri" w:cs="Arial"/>
        </w:rPr>
        <w:t>obligation pour le juge de rendre une décision, interruption de la prescription (art 2241 cciv), mise en demeure</w:t>
      </w:r>
    </w:p>
    <w:p w14:paraId="3BD7B67D" w14:textId="77777777" w:rsidR="002E6249" w:rsidRPr="00FF24D7" w:rsidRDefault="002E6249" w:rsidP="00D37D52">
      <w:pPr>
        <w:pStyle w:val="Body1"/>
        <w:rPr>
          <w:rFonts w:ascii="Calibri" w:hAnsi="Calibri" w:cs="Arial"/>
        </w:rPr>
      </w:pPr>
      <w:bookmarkStart w:id="0" w:name="_GoBack"/>
    </w:p>
    <w:bookmarkEnd w:id="0"/>
    <w:p w14:paraId="5D80B712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2DFC0954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38FEA28C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BAEB632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8904DC5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73043B7B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046AD160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0EF14BD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3EFB475D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48ED972C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5DCD4B66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27D26EC8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4EF0C99E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06739FDF" w14:textId="77777777" w:rsidR="00113AF6" w:rsidRDefault="00113AF6" w:rsidP="00113AF6">
      <w:pPr>
        <w:pStyle w:val="Body1"/>
        <w:rPr>
          <w:rFonts w:ascii="Calibri" w:hAnsi="Calibri" w:cs="Arial"/>
          <w:szCs w:val="24"/>
        </w:rPr>
      </w:pPr>
    </w:p>
    <w:p w14:paraId="1CC8EFF3" w14:textId="77777777" w:rsidR="006E46DB" w:rsidRPr="00B253C3" w:rsidRDefault="006E46DB">
      <w:pPr>
        <w:rPr>
          <w:lang w:val="fr-FR"/>
        </w:rPr>
      </w:pPr>
    </w:p>
    <w:sectPr w:rsidR="006E46DB" w:rsidRPr="00B253C3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4593"/>
    <w:multiLevelType w:val="hybridMultilevel"/>
    <w:tmpl w:val="D708F05A"/>
    <w:lvl w:ilvl="0" w:tplc="9326C068">
      <w:numFmt w:val="bullet"/>
      <w:lvlText w:val="-"/>
      <w:lvlJc w:val="left"/>
      <w:pPr>
        <w:ind w:left="1004" w:hanging="360"/>
      </w:pPr>
      <w:rPr>
        <w:rFonts w:ascii="Calibri" w:eastAsia="Arial Unicode MS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C4F7DA5"/>
    <w:multiLevelType w:val="hybridMultilevel"/>
    <w:tmpl w:val="3424C1F2"/>
    <w:lvl w:ilvl="0" w:tplc="1CA0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D014F"/>
    <w:multiLevelType w:val="hybridMultilevel"/>
    <w:tmpl w:val="9F760584"/>
    <w:lvl w:ilvl="0" w:tplc="1CBA8ACE">
      <w:numFmt w:val="bullet"/>
      <w:lvlText w:val=""/>
      <w:lvlJc w:val="left"/>
      <w:pPr>
        <w:ind w:left="644" w:hanging="360"/>
      </w:pPr>
      <w:rPr>
        <w:rFonts w:ascii="Symbol" w:eastAsia="Arial Unicode MS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160FA"/>
    <w:multiLevelType w:val="hybridMultilevel"/>
    <w:tmpl w:val="44A28C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F6"/>
    <w:rsid w:val="00032CBA"/>
    <w:rsid w:val="00081219"/>
    <w:rsid w:val="001067DB"/>
    <w:rsid w:val="00113AF6"/>
    <w:rsid w:val="00135341"/>
    <w:rsid w:val="00201453"/>
    <w:rsid w:val="002E6249"/>
    <w:rsid w:val="003179F1"/>
    <w:rsid w:val="003606A7"/>
    <w:rsid w:val="00363AC1"/>
    <w:rsid w:val="00381658"/>
    <w:rsid w:val="003A6C3E"/>
    <w:rsid w:val="003E2CA7"/>
    <w:rsid w:val="004D3119"/>
    <w:rsid w:val="004F6F4D"/>
    <w:rsid w:val="00501D05"/>
    <w:rsid w:val="00694AAF"/>
    <w:rsid w:val="006A1AB1"/>
    <w:rsid w:val="006E42B8"/>
    <w:rsid w:val="006E46DB"/>
    <w:rsid w:val="006F34CA"/>
    <w:rsid w:val="007D2C90"/>
    <w:rsid w:val="007F3D84"/>
    <w:rsid w:val="0088547B"/>
    <w:rsid w:val="008A4EC7"/>
    <w:rsid w:val="0092145A"/>
    <w:rsid w:val="0095406F"/>
    <w:rsid w:val="0098694B"/>
    <w:rsid w:val="009D1428"/>
    <w:rsid w:val="00A00EE3"/>
    <w:rsid w:val="00A33674"/>
    <w:rsid w:val="00A7772D"/>
    <w:rsid w:val="00AA3B11"/>
    <w:rsid w:val="00B253C3"/>
    <w:rsid w:val="00B871E7"/>
    <w:rsid w:val="00BC7514"/>
    <w:rsid w:val="00CB49F1"/>
    <w:rsid w:val="00CD5D66"/>
    <w:rsid w:val="00CD769B"/>
    <w:rsid w:val="00D16C37"/>
    <w:rsid w:val="00D178C1"/>
    <w:rsid w:val="00D37D52"/>
    <w:rsid w:val="00D43E80"/>
    <w:rsid w:val="00DC7CC9"/>
    <w:rsid w:val="00F54754"/>
    <w:rsid w:val="00F564A6"/>
    <w:rsid w:val="00FB7480"/>
    <w:rsid w:val="00FC038D"/>
    <w:rsid w:val="00FC050A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cff"/>
    </o:shapedefaults>
    <o:shapelayout v:ext="edit">
      <o:idmap v:ext="edit" data="1"/>
    </o:shapelayout>
  </w:shapeDefaults>
  <w:decimalSymbol w:val=","/>
  <w:listSeparator w:val=";"/>
  <w14:docId w14:val="0E5FB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">
    <w:name w:val="Body 1"/>
    <w:rsid w:val="00113AF6"/>
    <w:rPr>
      <w:rFonts w:ascii="Helvetica" w:eastAsia="Arial Unicode MS" w:hAnsi="Helvetica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3AF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24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4D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">
    <w:name w:val="Body 1"/>
    <w:rsid w:val="00113AF6"/>
    <w:rPr>
      <w:rFonts w:ascii="Helvetica" w:eastAsia="Arial Unicode MS" w:hAnsi="Helvetica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3AF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24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4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695</Words>
  <Characters>3826</Characters>
  <Application>Microsoft Macintosh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laurence s</cp:lastModifiedBy>
  <cp:revision>50</cp:revision>
  <dcterms:created xsi:type="dcterms:W3CDTF">2013-04-14T13:08:00Z</dcterms:created>
  <dcterms:modified xsi:type="dcterms:W3CDTF">2013-05-20T11:50:00Z</dcterms:modified>
</cp:coreProperties>
</file>